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65B" w:rsidRPr="0042665B" w:rsidRDefault="0042665B" w:rsidP="0042665B">
      <w:pPr>
        <w:pStyle w:val="MDPI13authornames"/>
        <w:rPr>
          <w:snapToGrid w:val="0"/>
          <w:sz w:val="36"/>
          <w:szCs w:val="20"/>
        </w:rPr>
      </w:pPr>
      <w:r w:rsidRPr="0042665B">
        <w:rPr>
          <w:snapToGrid w:val="0"/>
          <w:sz w:val="36"/>
          <w:szCs w:val="20"/>
        </w:rPr>
        <w:t>Echinacea Angustifolia DC. lipophilic extract patch for skin application: preparation, ex vivo and in vivo studies</w:t>
      </w:r>
    </w:p>
    <w:p w:rsidR="0042665B" w:rsidRPr="0042665B" w:rsidRDefault="0042665B" w:rsidP="0042665B">
      <w:pPr>
        <w:pStyle w:val="MDPI13authornames"/>
        <w:rPr>
          <w:color w:val="auto"/>
          <w:lang w:val="it-IT"/>
        </w:rPr>
      </w:pPr>
      <w:r w:rsidRPr="0042665B">
        <w:rPr>
          <w:color w:val="auto"/>
          <w:lang w:val="it-IT"/>
        </w:rPr>
        <w:t>Dritan Hasa, Simon Žakelj, Iztok Grabnar,</w:t>
      </w:r>
      <w:r w:rsidRPr="0042665B">
        <w:rPr>
          <w:color w:val="auto"/>
          <w:vertAlign w:val="superscript"/>
          <w:lang w:val="it-IT"/>
        </w:rPr>
        <w:t xml:space="preserve"> </w:t>
      </w:r>
      <w:r w:rsidRPr="0042665B">
        <w:rPr>
          <w:color w:val="auto"/>
          <w:lang w:val="it-IT"/>
        </w:rPr>
        <w:t>Francesco Cilurzo, Stefano Dall’Acqua, Antonella Riva, Beatrice Perissutti</w:t>
      </w:r>
      <w:r w:rsidRPr="0042665B">
        <w:rPr>
          <w:color w:val="auto"/>
          <w:vertAlign w:val="subscript"/>
          <w:lang w:val="it-IT"/>
        </w:rPr>
        <w:t xml:space="preserve">, </w:t>
      </w:r>
      <w:r w:rsidRPr="0042665B">
        <w:rPr>
          <w:color w:val="auto"/>
          <w:lang w:val="it-IT"/>
        </w:rPr>
        <w:t>Dario Voinovich</w:t>
      </w:r>
      <w:bookmarkStart w:id="0" w:name="_GoBack"/>
      <w:bookmarkEnd w:id="0"/>
    </w:p>
    <w:p w:rsidR="005D00AA" w:rsidRPr="0042665B" w:rsidRDefault="005D00AA" w:rsidP="0042665B">
      <w:pPr>
        <w:rPr>
          <w:rFonts w:ascii="Palatino Linotype" w:hAnsi="Palatino Linotype"/>
          <w:lang w:val="it-IT"/>
        </w:rPr>
      </w:pPr>
    </w:p>
    <w:p w:rsidR="0042665B" w:rsidRPr="0042665B" w:rsidRDefault="0042665B" w:rsidP="0042665B">
      <w:pPr>
        <w:rPr>
          <w:rFonts w:ascii="Palatino Linotype" w:hAnsi="Palatino Linotype"/>
          <w:lang w:val="it-IT"/>
        </w:rPr>
      </w:pPr>
    </w:p>
    <w:p w:rsidR="0042665B" w:rsidRDefault="0042665B" w:rsidP="0042665B">
      <w:pPr>
        <w:rPr>
          <w:rFonts w:ascii="Palatino Linotype" w:hAnsi="Palatino Linotype"/>
          <w:b/>
          <w:lang w:val="it-IT"/>
        </w:rPr>
      </w:pPr>
      <w:proofErr w:type="spellStart"/>
      <w:r w:rsidRPr="0042665B">
        <w:rPr>
          <w:rFonts w:ascii="Palatino Linotype" w:hAnsi="Palatino Linotype"/>
          <w:b/>
          <w:lang w:val="it-IT"/>
        </w:rPr>
        <w:t>Supplementary</w:t>
      </w:r>
      <w:proofErr w:type="spellEnd"/>
      <w:r w:rsidRPr="0042665B">
        <w:rPr>
          <w:rFonts w:ascii="Palatino Linotype" w:hAnsi="Palatino Linotype"/>
          <w:b/>
          <w:lang w:val="it-IT"/>
        </w:rPr>
        <w:t xml:space="preserve"> </w:t>
      </w:r>
      <w:proofErr w:type="spellStart"/>
      <w:r w:rsidRPr="0042665B">
        <w:rPr>
          <w:rFonts w:ascii="Palatino Linotype" w:hAnsi="Palatino Linotype"/>
          <w:b/>
          <w:lang w:val="it-IT"/>
        </w:rPr>
        <w:t>materials</w:t>
      </w:r>
      <w:proofErr w:type="spellEnd"/>
    </w:p>
    <w:p w:rsidR="0042665B" w:rsidRDefault="0042665B" w:rsidP="0042665B">
      <w:pPr>
        <w:rPr>
          <w:rFonts w:ascii="Palatino Linotype" w:hAnsi="Palatino Linotype"/>
          <w:b/>
          <w:lang w:val="it-IT"/>
        </w:rPr>
      </w:pPr>
    </w:p>
    <w:p w:rsidR="0042665B" w:rsidRPr="0042665B" w:rsidRDefault="0042665B" w:rsidP="0042665B">
      <w:pPr>
        <w:rPr>
          <w:rFonts w:ascii="Palatino Linotype" w:hAnsi="Palatino Linotype"/>
          <w:b/>
          <w:lang w:val="it-IT"/>
        </w:rPr>
      </w:pPr>
    </w:p>
    <w:p w:rsidR="00A07979" w:rsidRDefault="009A1768" w:rsidP="009A1768">
      <w:pPr>
        <w:jc w:val="center"/>
        <w:rPr>
          <w:rFonts w:ascii="Palatino Linotype" w:hAnsi="Palatino Linotype"/>
          <w:b/>
        </w:rPr>
      </w:pPr>
      <w:r>
        <w:rPr>
          <w:rFonts w:ascii="Palatino Linotype" w:hAnsi="Palatino Linotype"/>
          <w:b/>
          <w:noProof/>
        </w:rPr>
        <w:drawing>
          <wp:inline distT="0" distB="0" distL="0" distR="0">
            <wp:extent cx="5759450" cy="4319270"/>
            <wp:effectExtent l="0" t="0" r="0" b="5080"/>
            <wp:docPr id="3" name="Picture 3" descr="C:\Projekt3\PK-analiza\NONMEM\Final\Figures\GOF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Projekt3\PK-analiza\NONMEM\Final\Figures\GOF_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31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7979" w:rsidRDefault="00A07979" w:rsidP="00A07979">
      <w:r w:rsidRPr="0042665B">
        <w:rPr>
          <w:rFonts w:ascii="Palatino Linotype" w:hAnsi="Palatino Linotype"/>
          <w:b/>
        </w:rPr>
        <w:t>Fig. S</w:t>
      </w:r>
      <w:r w:rsidR="009A1768">
        <w:rPr>
          <w:rFonts w:ascii="Palatino Linotype" w:hAnsi="Palatino Linotype"/>
          <w:b/>
        </w:rPr>
        <w:t>1</w:t>
      </w:r>
      <w:r w:rsidRPr="0042665B">
        <w:rPr>
          <w:rFonts w:ascii="Palatino Linotype" w:hAnsi="Palatino Linotype"/>
          <w:b/>
        </w:rPr>
        <w:t xml:space="preserve">. </w:t>
      </w:r>
      <w:r w:rsidR="00A23684" w:rsidRPr="00A23684">
        <w:rPr>
          <w:rFonts w:ascii="Palatino Linotype" w:hAnsi="Palatino Linotype"/>
        </w:rPr>
        <w:t>Individual plasma concentration profiles of tetraene after administration of transdermal patch in 6 subjects with predictions of the pharmacokinetic model (circles – experimental measurements, red line – population prediction, blue line – individual prediction).</w:t>
      </w:r>
    </w:p>
    <w:p w:rsidR="00A07979" w:rsidRDefault="00A07979">
      <w:pPr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br w:type="page"/>
      </w:r>
    </w:p>
    <w:p w:rsidR="009A1768" w:rsidRPr="009A1768" w:rsidRDefault="009A1768" w:rsidP="009A1768">
      <w:pPr>
        <w:jc w:val="center"/>
        <w:rPr>
          <w:rFonts w:ascii="Palatino Linotype" w:hAnsi="Palatino Linotype"/>
        </w:rPr>
      </w:pPr>
      <w:r>
        <w:rPr>
          <w:rFonts w:ascii="Palatino Linotype" w:hAnsi="Palatino Linotype"/>
          <w:noProof/>
        </w:rPr>
        <w:lastRenderedPageBreak/>
        <w:drawing>
          <wp:inline distT="0" distB="0" distL="0" distR="0">
            <wp:extent cx="5759450" cy="4319270"/>
            <wp:effectExtent l="0" t="0" r="0" b="5080"/>
            <wp:docPr id="4" name="Picture 4" descr="C:\Projekt3\PK-analiza\NONMEM\Final\Figures\GOF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Projekt3\PK-analiza\NONMEM\Final\Figures\GOF_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31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65B" w:rsidRPr="00A07979" w:rsidRDefault="00A07979" w:rsidP="00A07979">
      <w:pPr>
        <w:rPr>
          <w:rFonts w:ascii="Palatino Linotype" w:hAnsi="Palatino Linotype"/>
          <w:b/>
        </w:rPr>
      </w:pPr>
      <w:r w:rsidRPr="00A07979">
        <w:rPr>
          <w:rFonts w:ascii="Palatino Linotype" w:hAnsi="Palatino Linotype"/>
          <w:b/>
        </w:rPr>
        <w:t>Fig. S</w:t>
      </w:r>
      <w:r w:rsidR="009A1768">
        <w:rPr>
          <w:rFonts w:ascii="Palatino Linotype" w:hAnsi="Palatino Linotype"/>
          <w:b/>
        </w:rPr>
        <w:t>2</w:t>
      </w:r>
      <w:r w:rsidRPr="00A07979">
        <w:rPr>
          <w:rFonts w:ascii="Palatino Linotype" w:hAnsi="Palatino Linotype"/>
          <w:b/>
        </w:rPr>
        <w:t xml:space="preserve">. </w:t>
      </w:r>
      <w:r w:rsidR="00F73C6D" w:rsidRPr="00F73C6D">
        <w:rPr>
          <w:rFonts w:ascii="Palatino Linotype" w:hAnsi="Palatino Linotype"/>
        </w:rPr>
        <w:t>Individual plasma concentration profiles of tetraene after administration of softgel capsules in 10 subjects with predictions of the pharmacokinetic model (circles – experimental measurements, red line – population prediction, blue line – individual prediction).</w:t>
      </w:r>
    </w:p>
    <w:sectPr w:rsidR="0042665B" w:rsidRPr="00A0797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65B"/>
    <w:rsid w:val="00055B27"/>
    <w:rsid w:val="0042665B"/>
    <w:rsid w:val="00440868"/>
    <w:rsid w:val="005D00AA"/>
    <w:rsid w:val="009A1768"/>
    <w:rsid w:val="00A07979"/>
    <w:rsid w:val="00A23684"/>
    <w:rsid w:val="00F73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449F40"/>
  <w15:docId w15:val="{96CA49AF-0CD9-41C5-98AA-94222696F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0797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html-italic">
    <w:name w:val="html-italic"/>
    <w:basedOn w:val="Carpredefinitoparagrafo"/>
    <w:rsid w:val="0042665B"/>
  </w:style>
  <w:style w:type="paragraph" w:customStyle="1" w:styleId="MDPI13authornames">
    <w:name w:val="MDPI_1.3_authornames"/>
    <w:basedOn w:val="Normale"/>
    <w:next w:val="Normale"/>
    <w:qFormat/>
    <w:rsid w:val="0042665B"/>
    <w:pPr>
      <w:adjustRightInd w:val="0"/>
      <w:snapToGrid w:val="0"/>
      <w:spacing w:after="120" w:line="260" w:lineRule="atLeast"/>
    </w:pPr>
    <w:rPr>
      <w:rFonts w:ascii="Palatino Linotype" w:eastAsia="Times New Roman" w:hAnsi="Palatino Linotype" w:cs="Times New Roman"/>
      <w:b/>
      <w:color w:val="000000"/>
      <w:sz w:val="20"/>
      <w:lang w:eastAsia="de-DE" w:bidi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5B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5B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</Words>
  <Characters>704</Characters>
  <Application>Microsoft Office Word</Application>
  <DocSecurity>0</DocSecurity>
  <Lines>5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Perissutti</dc:creator>
  <cp:keywords/>
  <dc:description/>
  <cp:lastModifiedBy>Perissutti</cp:lastModifiedBy>
  <cp:revision>2</cp:revision>
  <dcterms:created xsi:type="dcterms:W3CDTF">2020-10-30T15:32:00Z</dcterms:created>
  <dcterms:modified xsi:type="dcterms:W3CDTF">2020-10-30T15:32:00Z</dcterms:modified>
</cp:coreProperties>
</file>